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 xmlns:a="http://schemas.openxmlformats.org/drawingml/2006/main">
          <wp:inline distT="0" distB="0" distL="0" distR="0">
            <wp:extent cx="2118359" cy="683173"/>
            <wp:effectExtent l="0" t="0" r="0" b="0"/>
            <wp:docPr id="1073741825" name="officeArt object" descr="Immagine che contiene disegnando, cibo, segnal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disegnando, cibo, segnaleDescrizione generata automaticamente" descr="Immagine che contiene disegnando, cibo, segnaleDescrizione generat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59" cy="6831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Corpo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CHILD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AND WOMAN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PROTECTION POLICY</w:t>
      </w:r>
    </w:p>
    <w:p>
      <w:pPr>
        <w:pStyle w:val="Corp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This document outlines the minimum common standards for child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and woman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protection that Courage Foundation has put in place with appropriate procedures and mechanisms in its operations.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main objective of child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woman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protection policy is to protect children </w:t>
      </w:r>
      <w:r>
        <w:rPr>
          <w:rFonts w:ascii="Times New Roman" w:hAnsi="Times New Roman"/>
          <w:sz w:val="24"/>
          <w:szCs w:val="24"/>
          <w:rtl w:val="0"/>
          <w:lang w:val="it-IT"/>
        </w:rPr>
        <w:t>and wom</w:t>
      </w:r>
      <w:r>
        <w:rPr>
          <w:rFonts w:ascii="Times New Roman" w:hAnsi="Times New Roman"/>
          <w:sz w:val="24"/>
          <w:szCs w:val="24"/>
          <w:rtl w:val="0"/>
          <w:lang w:val="it-IT"/>
        </w:rPr>
        <w:t>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 </w:t>
      </w:r>
      <w:r>
        <w:rPr>
          <w:rFonts w:ascii="Times New Roman" w:hAnsi="Times New Roman"/>
          <w:sz w:val="24"/>
          <w:szCs w:val="24"/>
          <w:rtl w:val="0"/>
          <w:lang w:val="en-US"/>
        </w:rPr>
        <w:t>from abuse. Children 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need support and security, protection from the effects of poverty, harm, isolation and violence.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DEFINITIONS OF CHILD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WOMAN </w:t>
      </w:r>
      <w:r>
        <w:rPr>
          <w:rFonts w:ascii="Times New Roman" w:hAnsi="Times New Roman"/>
          <w:sz w:val="24"/>
          <w:szCs w:val="24"/>
          <w:rtl w:val="0"/>
          <w:lang w:val="en-US"/>
        </w:rPr>
        <w:t>PROTECTION POLICY IN THE FOUNDATION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In the sense of an additional provision to the Regulations on the Implementation of the CPA in Bulgarian Legislation / paragraph 1 /: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"Violence" against a child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woman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is any act of physical, mental or sexual abuse, neglect, commercial or other exploitation that results in actual or probable harm to the health, life, development or dignity of the </w:t>
      </w:r>
      <w:r>
        <w:rPr>
          <w:rFonts w:ascii="Times New Roman" w:hAnsi="Times New Roman"/>
          <w:sz w:val="24"/>
          <w:szCs w:val="24"/>
          <w:rtl w:val="0"/>
          <w:lang w:val="it-IT"/>
        </w:rPr>
        <w:t>individual</w:t>
      </w:r>
      <w:r>
        <w:rPr>
          <w:rFonts w:ascii="Times New Roman" w:hAnsi="Times New Roman"/>
          <w:sz w:val="24"/>
          <w:szCs w:val="24"/>
          <w:rtl w:val="0"/>
          <w:lang w:val="en-US"/>
        </w:rPr>
        <w:t>, which may occur in family, school and social environment.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"Physical violence" means personal injury, including pain or suffering without a health disorder.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"Mental abuse" means all actions that can have a detrimental effect on the mental health and development of the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individual</w:t>
      </w:r>
      <w:r>
        <w:rPr>
          <w:rFonts w:ascii="Times New Roman" w:hAnsi="Times New Roman"/>
          <w:sz w:val="24"/>
          <w:szCs w:val="24"/>
          <w:rtl w:val="0"/>
          <w:lang w:val="en-US"/>
        </w:rPr>
        <w:t>, such as underestimation, mockery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etc.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VISION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Courage Foundation works for a society where each child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woman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has his or her own family and enjoys the best opportunities for life and development. The Foundation has an impact on child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woman </w:t>
      </w:r>
      <w:r>
        <w:rPr>
          <w:rFonts w:ascii="Times New Roman" w:hAnsi="Times New Roman"/>
          <w:sz w:val="24"/>
          <w:szCs w:val="24"/>
          <w:rtl w:val="0"/>
          <w:lang w:val="en-US"/>
        </w:rPr>
        <w:t>development in Plovdiv and the region and supports activities locally.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</w:p>
    <w:p>
      <w:pPr>
        <w:pStyle w:val="Corp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MISSION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The Courage Foundation advocates for the rights and well-being of children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by operating at regional, national and international levels. Works for a society where citizens are empowered to participate actively, directly and responsibly in decision-making and policymaking at local, regional, national and European level.</w:t>
      </w:r>
    </w:p>
    <w:p>
      <w:pPr>
        <w:pStyle w:val="Corp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PRIORITIES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1. Putting the child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woman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at the center of life and activities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2. Children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it-IT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youth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women </w:t>
      </w:r>
      <w:r>
        <w:rPr>
          <w:rFonts w:ascii="Times New Roman" w:hAnsi="Times New Roman"/>
          <w:sz w:val="24"/>
          <w:szCs w:val="24"/>
          <w:rtl w:val="0"/>
          <w:lang w:val="en-US"/>
        </w:rPr>
        <w:t>participation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3. Development of the Foundation</w:t>
      </w:r>
    </w:p>
    <w:p>
      <w:pPr>
        <w:pStyle w:val="Corpo A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Corp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GOALS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1. Introducing and implementing mechanisms for civic participation and influencing local policies - Promoting the spiritual, intellectual and professional growth of children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women </w:t>
      </w:r>
      <w:r>
        <w:rPr>
          <w:rFonts w:ascii="Times New Roman" w:hAnsi="Times New Roman"/>
          <w:sz w:val="24"/>
          <w:szCs w:val="24"/>
          <w:rtl w:val="0"/>
          <w:lang w:val="en-US"/>
        </w:rPr>
        <w:t>through education, sport and arts.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2. Collaboration with state and other non-governmental organizations to solve problems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3. Carrying out charity events in order to raise funds for the achievement of the Foundation's goals.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4. Developing policies for children and </w:t>
      </w:r>
      <w:r>
        <w:rPr>
          <w:rFonts w:ascii="Times New Roman" w:hAnsi="Times New Roman"/>
          <w:sz w:val="24"/>
          <w:szCs w:val="24"/>
          <w:rtl w:val="0"/>
          <w:lang w:val="it-IT"/>
        </w:rPr>
        <w:t>women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5. Changing society's attitudes towards the rights of the child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woman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6. Building a model for participation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7. Sustainability and development of the Foundation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8. Capacity building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STANDARDS FOR CHILD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WOMAN </w:t>
      </w:r>
      <w:r>
        <w:rPr>
          <w:rFonts w:ascii="Times New Roman" w:hAnsi="Times New Roman"/>
          <w:sz w:val="24"/>
          <w:szCs w:val="24"/>
          <w:rtl w:val="0"/>
          <w:lang w:val="en-US"/>
        </w:rPr>
        <w:t>PROTECTION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basic principles that meet the standards are directly linked to the rights of the child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woman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comply with Bulgarian and international legislation. They reflect the minimum requirements and mechanisms to be met by the Foundation to ensure effective protection of the child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woman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against abuse.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Standard 1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Written document on a policy to ensure the safety of children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and women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1.1. Written in clear and accessible language and reflecting the Foundation's understanding abuse and violence;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1.2. There are clear rules outlining the steps to be taken in the presence of a child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woman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safety concerns.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1.3. All employees are familiar with the protection rules and are available to everyone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Standard 2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Implementation of the Child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Woman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Protection Policy: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prevent </w:t>
      </w:r>
      <w:r>
        <w:rPr>
          <w:rFonts w:ascii="Times New Roman" w:hAnsi="Times New Roman"/>
          <w:sz w:val="24"/>
          <w:szCs w:val="24"/>
          <w:rtl w:val="0"/>
          <w:lang w:val="en-US"/>
        </w:rPr>
        <w:t>threat, discrimination, rejection or other negative attitudes, as well as the inability of the parent, guardian and guardian or care provider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(in case of child)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 provide an appropriate supportive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environment 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Standard 3.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Prevention of violence against children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and women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3.1. In the selection of staff, volunteers and consultants to implement projects and other activities, a methodology and assessment of their suitability for work with children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women </w:t>
      </w:r>
      <w:r>
        <w:rPr>
          <w:rFonts w:ascii="Times New Roman" w:hAnsi="Times New Roman"/>
          <w:sz w:val="24"/>
          <w:szCs w:val="24"/>
          <w:rtl w:val="0"/>
          <w:lang w:val="en-US"/>
        </w:rPr>
        <w:t>shall be applied.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3.2. Each new member and new employee in connection with the execution of a project activity shall provide up-to-date documents required by law and / or duly required by the employer, incl. and recommendations.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3.4. The Foundation's projects and programs promote mechanisms for the monitoring and protection of children and requirements for compliance with the Child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</w:t>
      </w:r>
      <w:r>
        <w:rPr>
          <w:rFonts w:ascii="Times New Roman" w:hAnsi="Times New Roman"/>
          <w:sz w:val="24"/>
          <w:szCs w:val="24"/>
          <w:rtl w:val="0"/>
          <w:lang w:val="it-IT"/>
        </w:rPr>
        <w:t>W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omen </w:t>
      </w:r>
      <w:r>
        <w:rPr>
          <w:rFonts w:ascii="Times New Roman" w:hAnsi="Times New Roman"/>
          <w:sz w:val="24"/>
          <w:szCs w:val="24"/>
          <w:rtl w:val="0"/>
          <w:lang w:val="en-US"/>
        </w:rPr>
        <w:t>Protection Policy.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Standard 4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Training to ensure the safety of children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and women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4.1. All members, staff, volunteers, consultants and other assistants are instructed in child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protection upon their involvement in the Foundation's activities.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4.2. Persons responsible for the selection of employees to carry out activities under the projects, receive guidance on safe selection methods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Standard 5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Guarantee of equal protection for all, regardless of gender, age, ethnicity and religion: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5.1. Child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women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protection training and procedures help employees identify the risks that some children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women </w:t>
      </w:r>
      <w:r>
        <w:rPr>
          <w:rFonts w:ascii="Times New Roman" w:hAnsi="Times New Roman"/>
          <w:sz w:val="24"/>
          <w:szCs w:val="24"/>
          <w:rtl w:val="0"/>
          <w:lang w:val="en-US"/>
        </w:rPr>
        <w:t>are exposed to because of their ethnicity and / or race, age, gender, religion, culture, disability.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5.2. At the Foundation, everyone is responsible for mutual respect, tolerance and non-discrimination.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Standard 6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Implementation and monitoring: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6.1. There are written documents that show what the procedures and mechanisms are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 place </w:t>
      </w:r>
      <w:r>
        <w:rPr>
          <w:rFonts w:ascii="Times New Roman" w:hAnsi="Times New Roman"/>
          <w:sz w:val="24"/>
          <w:szCs w:val="24"/>
          <w:rtl w:val="0"/>
          <w:lang w:val="en-US"/>
        </w:rPr>
        <w:t>when implementing a child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and woman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protection policy.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6.2. All reports and cases of abuse are documented and monitored.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Standard 7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Working with partners to meet standards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7.1. There is a process of communication with partners on child protection issues, information and experience are exchanged, and coherent approaches to child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women </w:t>
      </w:r>
      <w:r>
        <w:rPr>
          <w:rFonts w:ascii="Times New Roman" w:hAnsi="Times New Roman"/>
          <w:sz w:val="24"/>
          <w:szCs w:val="24"/>
          <w:rtl w:val="0"/>
          <w:lang w:val="en-US"/>
        </w:rPr>
        <w:t>protection are being developed.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7.2. The partners are aware of the existing Child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</w:t>
      </w:r>
      <w:r>
        <w:rPr>
          <w:rFonts w:ascii="Times New Roman" w:hAnsi="Times New Roman"/>
          <w:sz w:val="24"/>
          <w:szCs w:val="24"/>
          <w:rtl w:val="0"/>
          <w:lang w:val="it-IT"/>
        </w:rPr>
        <w:t>w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omen </w:t>
      </w:r>
      <w:r>
        <w:rPr>
          <w:rFonts w:ascii="Times New Roman" w:hAnsi="Times New Roman"/>
          <w:sz w:val="24"/>
          <w:szCs w:val="24"/>
          <w:rtl w:val="0"/>
          <w:lang w:val="en-US"/>
        </w:rPr>
        <w:t>Protection Policy and its accompanying procedures.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IMPLEMENTATION PROCEDURES AND MECHANISMS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1. The Chairperson of the Foundation shall be responsible for the implementation of this policy.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2. In case of fear and / or identified violence against a child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and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woman 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- communication passes directly through the responsible person to the Foundation, designated by the Chairperson.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Any information relating to abuse must be documented. 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3. Policy clarifications and procedures are part of the introductory process for new members, staff, volunteers or associates.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4. The organization of activities involving children, including the transportation of children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or women</w:t>
      </w:r>
      <w:r>
        <w:rPr>
          <w:rFonts w:ascii="Times New Roman" w:hAnsi="Times New Roman"/>
          <w:sz w:val="24"/>
          <w:szCs w:val="24"/>
          <w:rtl w:val="0"/>
          <w:lang w:val="en-US"/>
        </w:rPr>
        <w:t>, follow the requirements of the Bulgarian legislation.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5. The policy is monitored and evaluated to verify its security and proper implementation.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USE OF IMAGES AND VIDEO MATERIALS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When using visual aids, the guiding principle of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Courage Foundation is to respect the dignity of portraying children,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women,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families and communities. The Foundation's image policy is part of the </w:t>
      </w:r>
      <w:r>
        <w:rPr>
          <w:rFonts w:ascii="Times New Roman" w:hAnsi="Times New Roman"/>
          <w:sz w:val="24"/>
          <w:szCs w:val="24"/>
          <w:rtl w:val="0"/>
          <w:lang w:val="it-IT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hild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and </w:t>
      </w:r>
      <w:r>
        <w:rPr>
          <w:rFonts w:ascii="Times New Roman" w:hAnsi="Times New Roman"/>
          <w:sz w:val="24"/>
          <w:szCs w:val="24"/>
          <w:rtl w:val="0"/>
          <w:lang w:val="it-IT"/>
        </w:rPr>
        <w:t>W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omen </w:t>
      </w:r>
      <w:r>
        <w:rPr>
          <w:rFonts w:ascii="Times New Roman" w:hAnsi="Times New Roman"/>
          <w:sz w:val="24"/>
          <w:szCs w:val="24"/>
          <w:rtl w:val="0"/>
          <w:lang w:val="it-IT"/>
        </w:rPr>
        <w:t>P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rotection </w:t>
      </w:r>
      <w:r>
        <w:rPr>
          <w:rFonts w:ascii="Times New Roman" w:hAnsi="Times New Roman"/>
          <w:sz w:val="24"/>
          <w:szCs w:val="24"/>
          <w:rtl w:val="0"/>
          <w:lang w:val="it-IT"/>
        </w:rPr>
        <w:t>P</w:t>
      </w:r>
      <w:r>
        <w:rPr>
          <w:rFonts w:ascii="Times New Roman" w:hAnsi="Times New Roman"/>
          <w:sz w:val="24"/>
          <w:szCs w:val="24"/>
          <w:rtl w:val="0"/>
          <w:lang w:val="en-US"/>
        </w:rPr>
        <w:t>olicy.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1. Images of children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are only used when there is a permission (signed declaration) from a parent / legal guardian.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2. Authorization is required for the taking of photographs or video material on a case-by-case basis and clearly stated in the declaration of authorization for what purposes the images will be used.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Consent for the taking and use of photographs is sought from parents of children and those with parental responsibility, or directly from children / young people when they are of the appropriate age. (applies to children over the age of 14, according to Art. 11, Para. 3 of the CPA).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Courage Foundation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863435</wp:posOffset>
            </wp:positionH>
            <wp:positionV relativeFrom="line">
              <wp:posOffset>214008</wp:posOffset>
            </wp:positionV>
            <wp:extent cx="2188375" cy="1249556"/>
            <wp:effectExtent l="0" t="0" r="0" b="0"/>
            <wp:wrapNone/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375" cy="12495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President</w:t>
      </w:r>
    </w:p>
    <w:p>
      <w:pPr>
        <w:pStyle w:val="Corpo A"/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>Lucia Veleva</w:t>
      </w:r>
    </w:p>
    <w:sectPr>
      <w:headerReference w:type="default" r:id="rId6"/>
      <w:footerReference w:type="default" r:id="rId7"/>
      <w:pgSz w:w="11900" w:h="16840" w:orient="portrait"/>
      <w:pgMar w:top="709" w:right="849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  <w:lang w:val="it-IT"/>
      </w:rPr>
      <w:t>Str. Ivan Radoslavov 13, 4000 Plovdiv, Bulgaria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